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110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708"/>
        <w:gridCol w:w="3120"/>
        <w:gridCol w:w="3685"/>
        <w:gridCol w:w="3119"/>
        <w:tblGridChange w:id="0">
          <w:tblGrid>
            <w:gridCol w:w="708"/>
            <w:gridCol w:w="3120"/>
            <w:gridCol w:w="3685"/>
            <w:gridCol w:w="3119"/>
          </w:tblGrid>
        </w:tblGridChange>
      </w:tblGrid>
      <w:tr>
        <w:trPr>
          <w:trHeight w:val="1160" w:hRule="atLeast"/>
        </w:trPr>
        <w:tc>
          <w:tcPr>
            <w:gridSpan w:val="4"/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vertAlign w:val="baseline"/>
                <w:rtl w:val="0"/>
              </w:rPr>
              <w:t xml:space="preserve">      Doctorate in Clinical Psychology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vertAlign w:val="baseline"/>
                <w:rtl w:val="0"/>
              </w:rPr>
              <w:t xml:space="preserve">Research Conference Friday  7 September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gridSpan w:val="4"/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10.00                             Welcome by Nick Hutchinson – Course Director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                                               Wilberforce Lecture Theatre 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10.10                                                      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10.50                                                            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11.20                                                     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12.20                                                             FINISH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              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before="60" w:lineRule="auto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Wilberforce LT12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before="60" w:lineRule="auto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Wilberforce LT15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before="60" w:lineRule="auto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Wilberforce LT13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Chair: Philip Molyneux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Chair: Nick Hutchinson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Chair: Chris Clarke/Annette Schlosser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0" w:before="120" w:line="276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Emma Minns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 exploration of the experience of stigma amongst people who have an acquired brain 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Jo Gledhill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How do clinical and counselling psychologists maintain hopeful therapeutic relationships when there are long wait times for therapy?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Madeline  Steele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Perinatal mental health: an exploration of staff perceptions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Lauren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 Exploration of the impact of Facial Reconstructive Surgery on an Individuals’ Self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Lucy Conway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Shared experiences of resilience amongst couples where one partner is living with dementia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Beth Edlington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Staff experiences of resilience in teenage mothers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10.50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Chair: Philip Molyneux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Chair: Nick Hutchinson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before="120" w:lineRule="auto"/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Chair: Chris Clarke/Annette Schlosser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Jade Ambridge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The role of self-compassion in perceived responsibility and shame in acquired brain 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Sean Malkin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Reasons to be compassionate: exploring the motivation to care in nurse training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Ross Davies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Young adult and professionals’ perspectives of the role of educators in the development and maintenance of aspirations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Mary Walker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Exploring relationships of appearance comparison on social networking sites, body image and compassion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Ava Doski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The experiences of residential staff and healthcare professionals working with individuals with intellectual disabilities during the transition process from children services to adult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Jayne Millward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Communicating with parents and carers when an adolescent self-harms: the experience of school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Cara Childs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Exploring shame and self-care in Type 2 Diabetes and the moderating effect of compassion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Jen Adams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 Mindfulness-based Intervention for Dementia Dyads: Understanding Dyadic Experience and Possible Adaptations    </w:t>
            </w:r>
          </w:p>
          <w:p w:rsidR="00000000" w:rsidDel="00000000" w:rsidP="00000000" w:rsidRDefault="00000000" w:rsidRPr="00000000" w14:paraId="00000045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Conor McGuire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Exploring possible continua in the stories of self-harm provided by University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left w:w="2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0" w:before="12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Rule="auto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FINISH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426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